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73516EEC" w:rsidR="00B123FF" w:rsidRPr="00455A3C" w:rsidRDefault="00EE2179"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3607F00D"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EE2179">
        <w:t>2</w:t>
      </w:r>
      <w:r w:rsidR="009A5D1F">
        <w:t>2</w:t>
      </w:r>
      <w:r w:rsidR="005420B4" w:rsidRPr="00893890">
        <w:t>.</w:t>
      </w:r>
      <w:r w:rsidR="00861070">
        <w:t>srpna</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1F405B0B" w14:textId="45FA7721"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Pr>
          <w:rStyle w:val="normaltextrun"/>
          <w:rFonts w:ascii="Arial" w:hAnsi="Arial" w:cs="Arial"/>
          <w:b/>
          <w:bCs/>
          <w:color w:val="000000"/>
          <w:sz w:val="28"/>
          <w:szCs w:val="28"/>
          <w:lang w:val="cs-CZ"/>
        </w:rPr>
        <w:t xml:space="preserve">: </w:t>
      </w:r>
      <w:r w:rsidR="00EE2179">
        <w:rPr>
          <w:rStyle w:val="normaltextrun"/>
          <w:rFonts w:ascii="Arial" w:hAnsi="Arial" w:cs="Arial"/>
          <w:b/>
          <w:bCs/>
          <w:color w:val="000000"/>
          <w:sz w:val="28"/>
          <w:szCs w:val="28"/>
          <w:lang w:val="cs-CZ"/>
        </w:rPr>
        <w:t>Proč je poloha nemovitostí jen částí odpovědi na otázku, jak diverzifikovat investice?</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20FB3C2C" w:rsidR="00E76BE0" w:rsidRPr="00E76BE0" w:rsidRDefault="00EE2179"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Naše vlastní analýza ukazuje, že investorům do evropských nemovitostí</w:t>
      </w:r>
      <w:r w:rsidR="00B4549F">
        <w:rPr>
          <w:rFonts w:asciiTheme="minorHAnsi" w:eastAsiaTheme="minorHAnsi" w:hAnsiTheme="minorHAnsi" w:cstheme="minorBidi"/>
          <w:b/>
          <w:lang w:val="cs-CZ" w:eastAsia="en-US"/>
        </w:rPr>
        <w:t xml:space="preserve"> se diverzifikace</w:t>
      </w:r>
      <w:r>
        <w:rPr>
          <w:rFonts w:asciiTheme="minorHAnsi" w:eastAsiaTheme="minorHAnsi" w:hAnsiTheme="minorHAnsi" w:cstheme="minorBidi"/>
          <w:b/>
          <w:lang w:val="cs-CZ" w:eastAsia="en-US"/>
        </w:rPr>
        <w:t xml:space="preserve"> osvědčila, </w:t>
      </w:r>
      <w:r w:rsidR="00B4549F">
        <w:rPr>
          <w:rFonts w:asciiTheme="minorHAnsi" w:eastAsiaTheme="minorHAnsi" w:hAnsiTheme="minorHAnsi" w:cstheme="minorBidi"/>
          <w:b/>
          <w:lang w:val="cs-CZ" w:eastAsia="en-US"/>
        </w:rPr>
        <w:t>pokud</w:t>
      </w:r>
      <w:r>
        <w:rPr>
          <w:rFonts w:asciiTheme="minorHAnsi" w:eastAsiaTheme="minorHAnsi" w:hAnsiTheme="minorHAnsi" w:cstheme="minorBidi"/>
          <w:b/>
          <w:lang w:val="cs-CZ" w:eastAsia="en-US"/>
        </w:rPr>
        <w:t xml:space="preserve"> alokovali své prostředky mezi několik různých trhů a kategorií – a</w:t>
      </w:r>
      <w:r w:rsidR="00B4549F">
        <w:rPr>
          <w:rFonts w:asciiTheme="minorHAnsi" w:eastAsiaTheme="minorHAnsi" w:hAnsiTheme="minorHAnsi" w:cstheme="minorBidi"/>
          <w:b/>
          <w:lang w:val="cs-CZ" w:eastAsia="en-US"/>
        </w:rPr>
        <w:t>le</w:t>
      </w:r>
      <w:r>
        <w:rPr>
          <w:rFonts w:asciiTheme="minorHAnsi" w:eastAsiaTheme="minorHAnsi" w:hAnsiTheme="minorHAnsi" w:cstheme="minorBidi"/>
          <w:b/>
          <w:lang w:val="cs-CZ" w:eastAsia="en-US"/>
        </w:rPr>
        <w:t xml:space="preserve"> proč se tento obraz může v příštím hospodářském cyklu změnit</w:t>
      </w:r>
      <w:r w:rsidR="00B4549F">
        <w:rPr>
          <w:rFonts w:asciiTheme="minorHAnsi" w:eastAsiaTheme="minorHAnsi" w:hAnsiTheme="minorHAnsi" w:cstheme="minorBidi"/>
          <w:b/>
          <w:lang w:val="cs-CZ" w:eastAsia="en-US"/>
        </w:rPr>
        <w:t>?</w:t>
      </w:r>
    </w:p>
    <w:p w14:paraId="7E5B7900" w14:textId="6A376A86" w:rsidR="00EE2179" w:rsidRDefault="00EE2179" w:rsidP="00EE2179">
      <w:pPr>
        <w:spacing w:after="210" w:line="276" w:lineRule="auto"/>
        <w:rPr>
          <w:color w:val="20242B"/>
        </w:rPr>
      </w:pPr>
      <w:r w:rsidRPr="00EE2179">
        <w:rPr>
          <w:color w:val="20242B"/>
        </w:rPr>
        <w:t xml:space="preserve">Ukazuje se, že lokalita není jediným faktorem při rozhodování o investování do nemovitostí. </w:t>
      </w:r>
      <w:r w:rsidR="00B4549F">
        <w:rPr>
          <w:color w:val="20242B"/>
        </w:rPr>
        <w:t>V</w:t>
      </w:r>
      <w:r w:rsidRPr="00EE2179">
        <w:rPr>
          <w:color w:val="20242B"/>
        </w:rPr>
        <w:t>e</w:t>
      </w:r>
      <w:r>
        <w:rPr>
          <w:color w:val="20242B"/>
        </w:rPr>
        <w:t xml:space="preserve"> </w:t>
      </w:r>
      <w:proofErr w:type="spellStart"/>
      <w:r w:rsidRPr="00EE2179">
        <w:rPr>
          <w:color w:val="20242B"/>
        </w:rPr>
        <w:t>Fidelity</w:t>
      </w:r>
      <w:proofErr w:type="spellEnd"/>
      <w:r w:rsidRPr="00EE2179">
        <w:rPr>
          <w:color w:val="20242B"/>
        </w:rPr>
        <w:t xml:space="preserve"> International porovnáváme profily rizik a výnosů dvou modelů realitních portfolií za posledních 15 let: jednoho, který investuje do různých typů budov, mimo jiné do domů, hotelů, kanceláří a maloobchodních jednotek (modrý "sektorový" sloupec[1]), a druhého, který investuje do aktiv na různých evropských trzích (oranžový sloupec jednotlivých zemí[2]). V obou scénářích analýza zjistila přímou souvislost mezi investováním do více zemí a sektorů a rostoucími výnosy. Jinými slovy, diverzifikace se skutečně vyplatí. </w:t>
      </w:r>
    </w:p>
    <w:p w14:paraId="392621BD" w14:textId="4266CA11" w:rsidR="00EE2179" w:rsidRDefault="000051B3" w:rsidP="00EE2179">
      <w:pPr>
        <w:shd w:val="clear" w:color="auto" w:fill="FFFFFF"/>
        <w:spacing w:before="0" w:line="360" w:lineRule="atLeast"/>
        <w:rPr>
          <w:b/>
          <w:bCs/>
        </w:rPr>
      </w:pPr>
      <w:r>
        <w:rPr>
          <w:noProof/>
        </w:rPr>
        <w:drawing>
          <wp:anchor distT="0" distB="0" distL="114300" distR="114300" simplePos="0" relativeHeight="251658240" behindDoc="1" locked="0" layoutInCell="1" allowOverlap="1" wp14:anchorId="18527B6D" wp14:editId="7C62BD5F">
            <wp:simplePos x="0" y="0"/>
            <wp:positionH relativeFrom="margin">
              <wp:align>left</wp:align>
            </wp:positionH>
            <wp:positionV relativeFrom="paragraph">
              <wp:posOffset>431800</wp:posOffset>
            </wp:positionV>
            <wp:extent cx="5074920" cy="3147060"/>
            <wp:effectExtent l="0" t="0" r="0" b="0"/>
            <wp:wrapTopAndBottom/>
            <wp:docPr id="205359724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97246" name="Obrázek 2053597246"/>
                    <pic:cNvPicPr/>
                  </pic:nvPicPr>
                  <pic:blipFill>
                    <a:blip r:embed="rId12">
                      <a:extLst>
                        <a:ext uri="{28A0092B-C50C-407E-A947-70E740481C1C}">
                          <a14:useLocalDpi xmlns:a14="http://schemas.microsoft.com/office/drawing/2010/main" val="0"/>
                        </a:ext>
                      </a:extLst>
                    </a:blip>
                    <a:stretch>
                      <a:fillRect/>
                    </a:stretch>
                  </pic:blipFill>
                  <pic:spPr>
                    <a:xfrm>
                      <a:off x="0" y="0"/>
                      <a:ext cx="5074920" cy="3147060"/>
                    </a:xfrm>
                    <a:prstGeom prst="rect">
                      <a:avLst/>
                    </a:prstGeom>
                  </pic:spPr>
                </pic:pic>
              </a:graphicData>
            </a:graphic>
          </wp:anchor>
        </w:drawing>
      </w:r>
      <w:r w:rsidR="00EE2179">
        <w:rPr>
          <w:b/>
          <w:bCs/>
        </w:rPr>
        <w:t xml:space="preserve">Graf: </w:t>
      </w:r>
      <w:r w:rsidR="00EE2179" w:rsidRPr="00EE2179">
        <w:rPr>
          <w:b/>
          <w:bCs/>
        </w:rPr>
        <w:t>Srovnání rizik a výnosů portfolií diverzifikovaných podle různých faktorů</w:t>
      </w:r>
    </w:p>
    <w:p w14:paraId="0EF3B7F3" w14:textId="234828BC" w:rsidR="00EE2179" w:rsidRPr="000051B3" w:rsidRDefault="000051B3" w:rsidP="00EE2179">
      <w:pPr>
        <w:pStyle w:val="F2-zkladn"/>
        <w:rPr>
          <w:i/>
          <w:iCs/>
          <w:sz w:val="18"/>
          <w:szCs w:val="18"/>
        </w:rPr>
      </w:pPr>
      <w:r w:rsidRPr="000051B3">
        <w:rPr>
          <w:i/>
          <w:iCs/>
          <w:sz w:val="18"/>
          <w:szCs w:val="18"/>
        </w:rPr>
        <w:t xml:space="preserve">Zdroj: </w:t>
      </w:r>
      <w:proofErr w:type="spellStart"/>
      <w:r w:rsidRPr="000051B3">
        <w:rPr>
          <w:i/>
          <w:iCs/>
          <w:sz w:val="18"/>
          <w:szCs w:val="18"/>
        </w:rPr>
        <w:t>Fidelity</w:t>
      </w:r>
      <w:proofErr w:type="spellEnd"/>
      <w:r w:rsidRPr="000051B3">
        <w:rPr>
          <w:i/>
          <w:iCs/>
          <w:sz w:val="18"/>
          <w:szCs w:val="18"/>
        </w:rPr>
        <w:t xml:space="preserve"> International, srpen 2023.</w:t>
      </w:r>
    </w:p>
    <w:p w14:paraId="2103C8D9" w14:textId="06E93125" w:rsidR="00EE2179" w:rsidRPr="00EE2179" w:rsidRDefault="00EE2179" w:rsidP="00EE2179">
      <w:pPr>
        <w:shd w:val="clear" w:color="auto" w:fill="FFFFFF"/>
        <w:spacing w:before="0" w:line="276" w:lineRule="auto"/>
        <w:rPr>
          <w:color w:val="20242B"/>
        </w:rPr>
      </w:pPr>
      <w:r w:rsidRPr="00EE2179">
        <w:rPr>
          <w:color w:val="20242B"/>
        </w:rPr>
        <w:lastRenderedPageBreak/>
        <w:t>Rozložení investic do různých lokalit i kategorií má podle našeho výzkumu tendenci zkvalitňovat profil rizika a výnosu nemovitostí. Náš model však také naznačuje, že v posledních 15</w:t>
      </w:r>
      <w:r>
        <w:rPr>
          <w:color w:val="20242B"/>
        </w:rPr>
        <w:t xml:space="preserve"> </w:t>
      </w:r>
      <w:r w:rsidRPr="00EE2179">
        <w:rPr>
          <w:color w:val="20242B"/>
        </w:rPr>
        <w:t>letech nabízí diverzifikace podle odvětví lepší profil rizika a výnosů než diverzifikace geografická.</w:t>
      </w:r>
    </w:p>
    <w:p w14:paraId="2AA7BD64" w14:textId="77777777" w:rsidR="00EE2179" w:rsidRPr="00EE2179" w:rsidRDefault="00EE2179" w:rsidP="00EE2179">
      <w:pPr>
        <w:spacing w:after="210" w:line="276" w:lineRule="auto"/>
        <w:rPr>
          <w:color w:val="20242B"/>
        </w:rPr>
      </w:pPr>
      <w:r w:rsidRPr="00EE2179">
        <w:rPr>
          <w:color w:val="20242B"/>
        </w:rPr>
        <w:t xml:space="preserve">Částečně je to způsobeno tím, že evropský trh je stále integrovanější – například pokud špatná ekonomická situace poškozuje trh s kancelářemi v Německu, je pravděpodobné, že podobná dynamika se projeví i u kanceláří v Itálii, Francii nebo Norsku. </w:t>
      </w:r>
    </w:p>
    <w:p w14:paraId="026F32B6" w14:textId="77777777" w:rsidR="00EE2179" w:rsidRPr="00EE2179" w:rsidRDefault="00EE2179" w:rsidP="00EE2179">
      <w:pPr>
        <w:spacing w:after="210" w:line="276" w:lineRule="auto"/>
        <w:rPr>
          <w:color w:val="20242B"/>
        </w:rPr>
      </w:pPr>
      <w:r w:rsidRPr="00EE2179">
        <w:rPr>
          <w:color w:val="20242B"/>
        </w:rPr>
        <w:t>Významný je také způsob, jakým mohou různé strukturální trendy ovlivnit vyhlídky různých typů budov, což znamená, že portfolio složené ze směsi těchto aktiv může mít lepší profil rizika a výnosu. Covidem vyvolané zpomalení v sektorech kanceláří a hotelů se shodovalo s prudkým nárůstem online nakupování, což zvýšilo hodnotu velkých skladů. Dynamika se liší i v rámci samotných sektorů: ačkoli mnoho maloobchodních prodejců na „</w:t>
      </w:r>
      <w:proofErr w:type="spellStart"/>
      <w:r w:rsidRPr="00EE2179">
        <w:rPr>
          <w:color w:val="20242B"/>
        </w:rPr>
        <w:t>high</w:t>
      </w:r>
      <w:proofErr w:type="spellEnd"/>
      <w:r w:rsidRPr="00EE2179">
        <w:rPr>
          <w:color w:val="20242B"/>
        </w:rPr>
        <w:t xml:space="preserve"> street“ neboli luxusních trzích mělo kvůli covidu potíže, velké obchody pro kutily prodávající zboží, které se příliš nedistribuuje online, mohly zůstat otevřené, což podpořilo výběr nájemného a zvýšilo příjmy vázané na obrat.</w:t>
      </w:r>
    </w:p>
    <w:p w14:paraId="67024921" w14:textId="77777777" w:rsidR="00EE2179" w:rsidRDefault="00EE2179" w:rsidP="00EE2179">
      <w:pPr>
        <w:spacing w:line="276" w:lineRule="auto"/>
        <w:rPr>
          <w:color w:val="20242B"/>
        </w:rPr>
      </w:pPr>
      <w:r w:rsidRPr="00EE2179">
        <w:rPr>
          <w:color w:val="20242B"/>
        </w:rPr>
        <w:t xml:space="preserve">Naše vlastní modely jsou založeny na vývoji trhů za posledních 15 let, nicméně během příštího cyklu se může mnohé změnit. Nízké úrokové sazby od globální krize celosvětově stlačily výnosy, a tak jsme porovnáním různých typů evropských modelových portfolií nemovitostí zjistili, že je výhodné diverzifikovat podle sektorů. Během příštího cyklu by se však výkonnost v různých ekonomikách mohla začít ještě více lišit. Již nyní například inflace ve Velké Británii roste rychleji než ve zbytku Evropy, a tak jsme zaznamenali, že tamní trh komerčních nemovitostí se přecenil mnohem rychleji než na zbytku kontinentu.  </w:t>
      </w:r>
    </w:p>
    <w:p w14:paraId="6179D330" w14:textId="77777777" w:rsidR="00EE2179" w:rsidRPr="00EE2179" w:rsidRDefault="00EE2179" w:rsidP="00EE2179">
      <w:pPr>
        <w:spacing w:line="276" w:lineRule="auto"/>
        <w:rPr>
          <w:color w:val="20242B"/>
        </w:rPr>
      </w:pPr>
      <w:r w:rsidRPr="00EE2179">
        <w:rPr>
          <w:color w:val="20242B"/>
        </w:rPr>
        <w:t xml:space="preserve">Za deset let by tak tento graf mohl vypadat zcela jinak a rizikový profil portfolií diverzifikovaných podle geografických oblastí by mohl být výraznější. Prozatím však zůstává klíčovou diverzifikací investování napříč různými sektory.  </w:t>
      </w:r>
    </w:p>
    <w:p w14:paraId="2BA64BA1" w14:textId="77777777" w:rsidR="00EE2179" w:rsidRPr="00EE2179" w:rsidRDefault="00EE2179" w:rsidP="00EE2179">
      <w:pPr>
        <w:spacing w:line="276" w:lineRule="auto"/>
        <w:rPr>
          <w:color w:val="20242B"/>
        </w:rPr>
      </w:pPr>
      <w:r w:rsidRPr="00EE2179">
        <w:rPr>
          <w:color w:val="20242B"/>
        </w:rPr>
        <w:t xml:space="preserve">[1] Pro tento model jsme se zaměřili na investice do rezidenčních sídel, hotelů, kanceláří, maloobchodních jednotek, průmyslových budov a dalších nemovitostí.  </w:t>
      </w:r>
    </w:p>
    <w:p w14:paraId="25B02031" w14:textId="77777777" w:rsidR="00EE2179" w:rsidRPr="00EE2179" w:rsidRDefault="00EE2179" w:rsidP="00EE2179">
      <w:pPr>
        <w:spacing w:line="276" w:lineRule="auto"/>
        <w:rPr>
          <w:color w:val="20242B"/>
        </w:rPr>
      </w:pPr>
      <w:r w:rsidRPr="00EE2179">
        <w:rPr>
          <w:color w:val="20242B"/>
        </w:rPr>
        <w:t>[2] Pro tento model jsme se zaměřili na investice ve Velké Británii, Německu, Francii, severských zemích, východní Evropě a jižní Evropě.</w:t>
      </w:r>
    </w:p>
    <w:p w14:paraId="78DDBBAF" w14:textId="77777777" w:rsidR="00EE2381" w:rsidRDefault="00EE2381" w:rsidP="00627C23">
      <w:pPr>
        <w:spacing w:before="0" w:line="240" w:lineRule="atLeast"/>
        <w:rPr>
          <w:b/>
        </w:rPr>
      </w:pPr>
    </w:p>
    <w:p w14:paraId="4B4BC2FF" w14:textId="77777777" w:rsidR="00883B41" w:rsidRPr="00883B41" w:rsidRDefault="00883B41" w:rsidP="00883B41">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w:t>
      </w:r>
      <w:r w:rsidRPr="00D404D5">
        <w:rPr>
          <w:color w:val="000000"/>
          <w:lang w:eastAsia="en-US"/>
        </w:rPr>
        <w:lastRenderedPageBreak/>
        <w:t>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w:t>
      </w:r>
      <w:r>
        <w:lastRenderedPageBreak/>
        <w:t>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FB46F8E" w14:textId="2857E6AC" w:rsidR="00511B34" w:rsidRDefault="00386215" w:rsidP="00386215">
      <w:pPr>
        <w:pStyle w:val="F2-zkladn"/>
      </w:pPr>
      <w:r w:rsidRPr="00386215">
        <w:t>MKAT11650</w:t>
      </w:r>
    </w:p>
    <w:sectPr w:rsidR="00511B3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CCD3" w14:textId="77777777" w:rsidR="003078EB" w:rsidRDefault="003078EB">
      <w:r>
        <w:separator/>
      </w:r>
    </w:p>
  </w:endnote>
  <w:endnote w:type="continuationSeparator" w:id="0">
    <w:p w14:paraId="5D267746" w14:textId="77777777" w:rsidR="003078EB" w:rsidRDefault="0030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768" w14:textId="77777777" w:rsidR="003078EB" w:rsidRDefault="003078EB">
      <w:r>
        <w:separator/>
      </w:r>
    </w:p>
  </w:footnote>
  <w:footnote w:type="continuationSeparator" w:id="0">
    <w:p w14:paraId="6BF5B905" w14:textId="77777777" w:rsidR="003078EB" w:rsidRDefault="003078EB">
      <w:r>
        <w:continuationSeparator/>
      </w:r>
    </w:p>
  </w:footnote>
  <w:footnote w:type="continuationNotice" w:id="1">
    <w:p w14:paraId="2BBF6D35" w14:textId="77777777" w:rsidR="003078EB" w:rsidRDefault="00307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2961"/>
    <w:rsid w:val="00303102"/>
    <w:rsid w:val="00307253"/>
    <w:rsid w:val="003078EB"/>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1C9"/>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3.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7370</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8602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2023-08-22T12:24:00Z</dcterms:created>
  <dcterms:modified xsi:type="dcterms:W3CDTF">2023-08-22T12:24:00Z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